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Richtlinien für die Verleihung des Ehrenbürgerrechts und der Ehrenbezeichnung de</w:t>
      </w:r>
      <w:r w:rsidR="00750AA3">
        <w:rPr>
          <w:b/>
          <w:sz w:val="28"/>
          <w:szCs w:val="28"/>
        </w:rPr>
        <w:t>s Amtes Eggebek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750AA3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 Amtsausschuss</w:t>
      </w:r>
      <w:r w:rsidR="005F0B76">
        <w:rPr>
          <w:sz w:val="24"/>
          <w:szCs w:val="24"/>
        </w:rPr>
        <w:t xml:space="preserve">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>das Amt Eggebek</w:t>
      </w:r>
      <w:r w:rsidR="005F0B76"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 w:rsidR="005F0B76">
        <w:rPr>
          <w:sz w:val="24"/>
          <w:szCs w:val="24"/>
        </w:rPr>
        <w:t xml:space="preserve"> verdient gemacht haben, das Ehrenbürgerrecht  verleihen.</w:t>
      </w:r>
    </w:p>
    <w:p w:rsidR="005F0B76" w:rsidRDefault="00750AA3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 Amtsausschuss</w:t>
      </w:r>
      <w:r w:rsidR="005F0B76">
        <w:rPr>
          <w:sz w:val="24"/>
          <w:szCs w:val="24"/>
        </w:rPr>
        <w:t xml:space="preserve"> kann Bürgerinnen und Bürgern, die mindestens zwanzig Jahre </w:t>
      </w:r>
      <w:r>
        <w:rPr>
          <w:sz w:val="24"/>
          <w:szCs w:val="24"/>
        </w:rPr>
        <w:t>Mitglied im Amtsausschuss</w:t>
      </w:r>
      <w:r w:rsidR="005F0B76"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</w:t>
      </w:r>
      <w:r w:rsidR="00750AA3">
        <w:rPr>
          <w:sz w:val="24"/>
          <w:szCs w:val="24"/>
        </w:rPr>
        <w:t>der Amtsausschuss</w:t>
      </w:r>
      <w:r w:rsidR="009D7120">
        <w:rPr>
          <w:sz w:val="24"/>
          <w:szCs w:val="24"/>
        </w:rPr>
        <w:t xml:space="preserve">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</w:t>
      </w:r>
      <w:r w:rsidR="00750AA3">
        <w:rPr>
          <w:sz w:val="24"/>
          <w:szCs w:val="24"/>
        </w:rPr>
        <w:t>des Amtes Eggebek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>Das Ehrenbürgerrecht oder die Ehrenbezeichnung kann durch Beschluss de</w:t>
      </w:r>
      <w:r w:rsidR="00750AA3">
        <w:rPr>
          <w:sz w:val="24"/>
          <w:szCs w:val="24"/>
        </w:rPr>
        <w:t>s</w:t>
      </w:r>
      <w:r w:rsidRPr="00A51FD9">
        <w:rPr>
          <w:sz w:val="24"/>
          <w:szCs w:val="24"/>
        </w:rPr>
        <w:t xml:space="preserve"> </w:t>
      </w:r>
      <w:r w:rsidR="00750AA3">
        <w:rPr>
          <w:sz w:val="24"/>
          <w:szCs w:val="24"/>
        </w:rPr>
        <w:t>Amtsausschusses</w:t>
      </w:r>
      <w:r w:rsidRPr="00A51FD9">
        <w:rPr>
          <w:sz w:val="24"/>
          <w:szCs w:val="24"/>
        </w:rPr>
        <w:t xml:space="preserve"> mit </w:t>
      </w:r>
      <w:r w:rsidR="00A51FD9" w:rsidRPr="00A51FD9">
        <w:rPr>
          <w:sz w:val="24"/>
          <w:szCs w:val="24"/>
        </w:rPr>
        <w:t xml:space="preserve">einfacher Mehrheit entzogen werden, wenn nach der Verleihung Tatsachen bekannt werden, die </w:t>
      </w:r>
      <w:r w:rsidR="00750AA3">
        <w:rPr>
          <w:sz w:val="24"/>
          <w:szCs w:val="24"/>
        </w:rPr>
        <w:t>den Amtsausschuss</w:t>
      </w:r>
      <w:r w:rsidR="00A51FD9" w:rsidRPr="00A51FD9">
        <w:rPr>
          <w:sz w:val="24"/>
          <w:szCs w:val="24"/>
        </w:rPr>
        <w:t xml:space="preserve">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Nach der Aberkennung ist die verliehene Urkunde an </w:t>
      </w:r>
      <w:r w:rsidR="00750AA3">
        <w:rPr>
          <w:sz w:val="24"/>
          <w:szCs w:val="24"/>
        </w:rPr>
        <w:t>das Amt Eggebek</w:t>
      </w:r>
      <w:r>
        <w:rPr>
          <w:sz w:val="24"/>
          <w:szCs w:val="24"/>
        </w:rPr>
        <w:t xml:space="preserve">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750AA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Das Amt Eggebek</w:t>
      </w:r>
      <w:r w:rsidR="00F37AFB">
        <w:rPr>
          <w:sz w:val="24"/>
          <w:szCs w:val="24"/>
        </w:rPr>
        <w:t xml:space="preserve">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 w:rsidR="00F37AFB"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750AA3">
        <w:rPr>
          <w:sz w:val="24"/>
          <w:szCs w:val="24"/>
        </w:rPr>
        <w:t xml:space="preserve">Amtsvorsteherin bzw. der Amtsvorsteher </w:t>
      </w:r>
      <w:r>
        <w:rPr>
          <w:sz w:val="24"/>
          <w:szCs w:val="24"/>
        </w:rPr>
        <w:t xml:space="preserve">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750AA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</w:t>
      </w:r>
      <w:r w:rsidR="00750AA3">
        <w:rPr>
          <w:sz w:val="24"/>
          <w:szCs w:val="24"/>
        </w:rPr>
        <w:t>das Amt Eggebek</w:t>
      </w:r>
      <w:r>
        <w:rPr>
          <w:sz w:val="24"/>
          <w:szCs w:val="24"/>
        </w:rPr>
        <w:t xml:space="preserve"> zur Beerdigung mit einem Kranz. </w:t>
      </w:r>
      <w:r w:rsidR="00750AA3" w:rsidRPr="00750AA3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Erweist sich die Geehrte oder der Geehrte nach seinem Tode als unwürdig, so kann sein Name nach Beschluss </w:t>
      </w:r>
      <w:r w:rsidR="00750AA3">
        <w:rPr>
          <w:sz w:val="24"/>
          <w:szCs w:val="24"/>
        </w:rPr>
        <w:t>des Amtsausschusses</w:t>
      </w:r>
      <w:r>
        <w:rPr>
          <w:sz w:val="24"/>
          <w:szCs w:val="24"/>
        </w:rPr>
        <w:t xml:space="preserve">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 Richtlinien treten nach Beschluss </w:t>
      </w:r>
      <w:r w:rsidR="00750AA3">
        <w:rPr>
          <w:sz w:val="24"/>
          <w:szCs w:val="24"/>
        </w:rPr>
        <w:t>des Amtsausschusses</w:t>
      </w:r>
      <w:r w:rsidR="00FB2B7D">
        <w:rPr>
          <w:sz w:val="24"/>
          <w:szCs w:val="24"/>
        </w:rPr>
        <w:t xml:space="preserve"> vom </w:t>
      </w:r>
      <w:r w:rsidR="00A65F27">
        <w:rPr>
          <w:sz w:val="24"/>
          <w:szCs w:val="24"/>
        </w:rPr>
        <w:t>01.04.2019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750AA3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Eggebek</w:t>
      </w:r>
      <w:r w:rsidR="00FB2B7D">
        <w:rPr>
          <w:sz w:val="24"/>
          <w:szCs w:val="24"/>
        </w:rPr>
        <w:t xml:space="preserve">, den </w:t>
      </w:r>
      <w:r w:rsidR="00A65F27">
        <w:rPr>
          <w:sz w:val="24"/>
          <w:szCs w:val="24"/>
        </w:rPr>
        <w:t>26.06.2019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A65F27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Ute Richter</w:t>
      </w:r>
      <w:bookmarkStart w:id="0" w:name="_GoBack"/>
      <w:bookmarkEnd w:id="0"/>
    </w:p>
    <w:p w:rsidR="00FC05C6" w:rsidRDefault="00750AA3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Ute Richter</w:t>
      </w:r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0AA3">
        <w:rPr>
          <w:sz w:val="24"/>
          <w:szCs w:val="24"/>
        </w:rPr>
        <w:t>Amtsvorsteherin</w:t>
      </w:r>
      <w:r>
        <w:rPr>
          <w:sz w:val="24"/>
          <w:szCs w:val="24"/>
        </w:rPr>
        <w:t>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282FD3"/>
    <w:rsid w:val="002B32E7"/>
    <w:rsid w:val="003F0B7E"/>
    <w:rsid w:val="00544B96"/>
    <w:rsid w:val="005F0B76"/>
    <w:rsid w:val="006F685D"/>
    <w:rsid w:val="00750AA3"/>
    <w:rsid w:val="007B2AC9"/>
    <w:rsid w:val="007F3BC4"/>
    <w:rsid w:val="009D7120"/>
    <w:rsid w:val="00A51FD9"/>
    <w:rsid w:val="00A65F27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72AE-FD8A-4652-B1FB-361C47BA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5</cp:revision>
  <cp:lastPrinted>2019-06-27T07:16:00Z</cp:lastPrinted>
  <dcterms:created xsi:type="dcterms:W3CDTF">2018-11-16T08:44:00Z</dcterms:created>
  <dcterms:modified xsi:type="dcterms:W3CDTF">2019-06-27T07:16:00Z</dcterms:modified>
</cp:coreProperties>
</file>